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r>
        <w:drawing>
          <wp:anchor distT="0" distB="0" distL="114300" distR="114300" simplePos="0" relativeHeight="251659264" behindDoc="1" locked="0" layoutInCell="1" allowOverlap="1">
            <wp:simplePos x="0" y="0"/>
            <wp:positionH relativeFrom="page">
              <wp:posOffset>1118235</wp:posOffset>
            </wp:positionH>
            <wp:positionV relativeFrom="page">
              <wp:posOffset>1323975</wp:posOffset>
            </wp:positionV>
            <wp:extent cx="5400040" cy="1388745"/>
            <wp:effectExtent l="0" t="0" r="10160" b="0"/>
            <wp:wrapNone/>
            <wp:docPr id="1" name="图片 2" descr="C:\Users\86130\Desktop\市政府\zjk图片\zjk图片\秘书二科\发文\赤政字.png赤政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字.png赤政字"/>
                    <pic:cNvPicPr>
                      <a:picLocks noChangeAspect="1"/>
                    </pic:cNvPicPr>
                  </pic:nvPicPr>
                  <pic:blipFill>
                    <a:blip r:embed="rId7"/>
                    <a:stretch>
                      <a:fillRect/>
                    </a:stretch>
                  </pic:blipFill>
                  <pic:spPr>
                    <a:xfrm>
                      <a:off x="0" y="0"/>
                      <a:ext cx="5400040" cy="138874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pPr>
        <w:keepNext w:val="0"/>
        <w:keepLines w:val="0"/>
        <w:pageBreakBefore w:val="0"/>
        <w:widowControl w:val="0"/>
        <w:kinsoku/>
        <w:wordWrap/>
        <w:overflowPunct/>
        <w:topLinePunct w:val="0"/>
        <w:autoSpaceDE/>
        <w:autoSpaceDN/>
        <w:bidi w:val="0"/>
        <w:adjustRightInd/>
        <w:snapToGrid w:val="0"/>
        <w:spacing w:line="660" w:lineRule="exact"/>
        <w:jc w:val="both"/>
        <w:textAlignment w:val="auto"/>
        <w:rPr>
          <w:rFonts w:hint="eastAsia" w:ascii="黑体" w:hAnsi="黑体" w:eastAsia="黑体" w:cs="黑体"/>
          <w:sz w:val="44"/>
          <w:szCs w:val="44"/>
          <w:vertAlign w:val="baseline"/>
          <w:lang w:val="en-US" w:eastAsia="zh-CN"/>
        </w:rPr>
      </w:pPr>
    </w:p>
    <w:tbl>
      <w:tblPr>
        <w:tblStyle w:val="8"/>
        <w:tblpPr w:leftFromText="180" w:rightFromText="180" w:vertAnchor="text" w:horzAnchor="page" w:tblpX="1688" w:tblpY="460"/>
        <w:tblOverlap w:val="never"/>
        <w:tblW w:w="8844" w:type="dxa"/>
        <w:tblInd w:w="0" w:type="dxa"/>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4"/>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 w:hRule="exact"/>
        </w:trPr>
        <w:tc>
          <w:tcPr>
            <w:tcW w:w="8844" w:type="dxa"/>
            <w:tcBorders>
              <w:top w:val="single" w:color="FF0000" w:sz="36" w:space="0"/>
              <w:bottom w:val="single" w:color="FF0000" w:sz="12"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before="313" w:beforeLines="100" w:line="560" w:lineRule="exact"/>
              <w:jc w:val="right"/>
              <w:textAlignment w:val="auto"/>
              <w:rPr>
                <w:vertAlign w:val="baseline"/>
              </w:rPr>
            </w:pPr>
          </w:p>
          <w:p>
            <w:pPr>
              <w:keepNext w:val="0"/>
              <w:keepLines w:val="0"/>
              <w:pageBreakBefore w:val="0"/>
              <w:widowControl w:val="0"/>
              <w:kinsoku/>
              <w:wordWrap/>
              <w:overflowPunct/>
              <w:topLinePunct w:val="0"/>
              <w:autoSpaceDE/>
              <w:autoSpaceDN/>
              <w:bidi w:val="0"/>
              <w:adjustRightInd w:val="0"/>
              <w:snapToGrid w:val="0"/>
              <w:spacing w:before="313" w:beforeLines="100"/>
              <w:jc w:val="center"/>
              <w:textAlignment w:val="auto"/>
              <w:rPr>
                <w:rFonts w:hint="default" w:ascii="仿宋" w:hAnsi="仿宋" w:eastAsia="仿宋" w:cs="仿宋"/>
                <w:b w:val="0"/>
                <w:bCs w:val="0"/>
                <w:sz w:val="32"/>
                <w:szCs w:val="32"/>
                <w:lang w:val="en-US"/>
              </w:rPr>
            </w:pPr>
          </w:p>
        </w:tc>
      </w:tr>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exact"/>
        </w:trPr>
        <w:tc>
          <w:tcPr>
            <w:tcW w:w="8844" w:type="dxa"/>
            <w:tcBorders>
              <w:top w:val="single" w:color="FF0000" w:sz="12"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eastAsia" w:ascii="仿宋" w:hAnsi="仿宋" w:eastAsia="仿宋" w:cs="仿宋"/>
                <w:b w:val="0"/>
                <w:bCs w:val="0"/>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3395980</wp:posOffset>
                      </wp:positionH>
                      <wp:positionV relativeFrom="paragraph">
                        <wp:posOffset>13335</wp:posOffset>
                      </wp:positionV>
                      <wp:extent cx="2374265" cy="372745"/>
                      <wp:effectExtent l="0" t="0" r="6985" b="8255"/>
                      <wp:wrapNone/>
                      <wp:docPr id="6" name="文本框 6"/>
                      <wp:cNvGraphicFramePr/>
                      <a:graphic xmlns:a="http://schemas.openxmlformats.org/drawingml/2006/main">
                        <a:graphicData uri="http://schemas.microsoft.com/office/word/2010/wordprocessingShape">
                          <wps:wsp>
                            <wps:cNvSpPr txBox="1"/>
                            <wps:spPr>
                              <a:xfrm>
                                <a:off x="5139055" y="3037205"/>
                                <a:ext cx="2374265" cy="3727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val="0"/>
                                    <w:overflowPunct/>
                                    <w:topLinePunct w:val="0"/>
                                    <w:autoSpaceDE/>
                                    <w:autoSpaceDN/>
                                    <w:bidi w:val="0"/>
                                    <w:adjustRightInd w:val="0"/>
                                    <w:snapToGrid w:val="0"/>
                                    <w:spacing w:line="480" w:lineRule="exact"/>
                                    <w:ind w:right="201" w:rightChars="0"/>
                                    <w:jc w:val="right"/>
                                    <w:textAlignment w:val="auto"/>
                                    <w:rPr>
                                      <w:rFonts w:hint="default"/>
                                      <w:lang w:val="en-US"/>
                                    </w:rPr>
                                  </w:pPr>
                                  <w:r>
                                    <w:rPr>
                                      <w:rFonts w:hint="eastAsia" w:ascii="仿宋_GB2312" w:hAnsi="仿宋_GB2312" w:eastAsia="仿宋_GB2312" w:cs="仿宋_GB2312"/>
                                      <w:b w:val="0"/>
                                      <w:bCs w:val="0"/>
                                      <w:sz w:val="32"/>
                                      <w:szCs w:val="32"/>
                                      <w:lang w:val="en-US" w:eastAsia="zh-CN"/>
                                    </w:rPr>
                                    <w:t>赤政字〔2026〕47号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7.4pt;margin-top:1.05pt;height:29.35pt;width:186.95pt;z-index:251660288;mso-width-relative:page;mso-height-relative:page;" fillcolor="#FFFFFF [3201]" filled="t" stroked="f" coordsize="21600,21600" o:gfxdata="UEsFBgAAAAAAAAAAAAAAAAAAAAAAAFBLAwQKAAAAAACHTuJAAAAAAAAAAAAAAAAABAAAAGRycy9Q&#10;SwMEFAAAAAgAh07iQDWEQb7UAAAACAEAAA8AAABkcnMvZG93bnJldi54bWxNj0tPwzAQhO9I/Adr&#10;kbhRO6WUELLpAYkrUp9nN17iiHgd2e7z19ec4Dia0cw39eLsBnGkEHvPCMVEgSBuvem5Q9isP59K&#10;EDFpNnrwTAgXirBo7u9qXRl/4iUdV6kTuYRjpRFsSmMlZWwtOR0nfiTO3rcPTqcsQydN0Kdc7gY5&#10;VWoune45L1g90oel9md1cAi7zl1322IM1rhhxl/Xy3rje8THh0K9g0h0Tn9h+MXP6NBkpr0/sIli&#10;QHh5nmX0hDAtQGT/TZWvIPYIc1WCbGr5/0BzA1BLAwQUAAAACACHTuJAVy98WFwCAACbBAAADgAA&#10;AGRycy9lMm9Eb2MueG1srVTNjtMwEL4j8Q6W7zTpP1ttuipbFSFV7EoL4uw6TmPJ9hjbbVIeAN6A&#10;ExfuPFefg7HT7i4Lhz2QgzP2fJnx981MLq9archeOC/BFLTfyykRhkMpzbagHz+sXr2mxAdmSqbA&#10;iIIehKdX85cvLhs7EwOoQZXCEQxi/KyxBa1DsLMs87wWmvkeWGHQWYHTLODWbbPSsQaja5UN8nyS&#10;NeBK64AL7/F02TnpKaJ7TkCoKsnFEvhOCxO6qE4oFpCSr6X1dJ5uW1WCh5uq8iIQVVBkGtKKSdDe&#10;xDWbX7LZ1jFbS366AnvOFZ5w0kwaTHofaskCIzsn/wqlJXfgoQo9DjrriCRFkEU/f6LNXc2sSFxQ&#10;am/vRff/Lyx/v791RJYFnVBimMaCH79/O/74dfz5lUyiPI31M0TdWcSF9g202DTnc4+HkXVbOR3f&#10;yIegf9wfXuTjMSWHgg7z4XSQjzuhRRsIR8BgOB0NJgjgETEdTEcJkD1Ess6HtwI0iUZBHRYy6cv2&#10;ax/wVgg9Q2JiD0qWK6lU2rjt5lo5smdY9FV6Ynr85A+YMqRB2sNxniIbiN93OGUQHol3BKMV2k17&#10;UmMD5QHFcNB1k7d8JfGWa+bDLXPYPthcOGDhBpdKASaBk0VJDe7Lv84jHquKXkoabMeC+s875gQl&#10;6p3Bel/0R6PYv2kzGqOklLjHns1jj9npa0DyfRxly5MZ8UGdzcqB/oRzuIhZ0cUMx9wFDWfzOnRD&#10;gnPMxWKRQNixloW1ubM8ho5SG1jsAlQylSTK1GlzUg97Nsl+mq84FI/3CfXwT5n/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BYAAABkcnMv&#10;UEsBAhQAFAAAAAgAh07iQDWEQb7UAAAACAEAAA8AAAAAAAAAAQAgAAAAOAAAAGRycy9kb3ducmV2&#10;LnhtbFBLAQIUABQAAAAIAIdO4kBXL3xYXAIAAJsEAAAOAAAAAAAAAAEAIAAAADkBAABkcnMvZTJv&#10;RG9jLnhtbFBLBQYAAAAABgAGAFkBAAAHBgAAAAA=&#10;">
                      <v:fill on="t" focussize="0,0"/>
                      <v:stroke on="f" weight="0.5pt"/>
                      <v:imagedata o:title=""/>
                      <o:lock v:ext="edit" aspectratio="f"/>
                      <v:textbox>
                        <w:txbxContent>
                          <w:p>
                            <w:pPr>
                              <w:keepNext w:val="0"/>
                              <w:keepLines w:val="0"/>
                              <w:pageBreakBefore w:val="0"/>
                              <w:widowControl w:val="0"/>
                              <w:kinsoku/>
                              <w:wordWrap w:val="0"/>
                              <w:overflowPunct/>
                              <w:topLinePunct w:val="0"/>
                              <w:autoSpaceDE/>
                              <w:autoSpaceDN/>
                              <w:bidi w:val="0"/>
                              <w:adjustRightInd w:val="0"/>
                              <w:snapToGrid w:val="0"/>
                              <w:spacing w:line="480" w:lineRule="exact"/>
                              <w:ind w:right="201" w:rightChars="0"/>
                              <w:jc w:val="right"/>
                              <w:textAlignment w:val="auto"/>
                              <w:rPr>
                                <w:rFonts w:hint="default"/>
                                <w:lang w:val="en-US"/>
                              </w:rPr>
                            </w:pPr>
                            <w:r>
                              <w:rPr>
                                <w:rFonts w:hint="eastAsia" w:ascii="仿宋_GB2312" w:hAnsi="仿宋_GB2312" w:eastAsia="仿宋_GB2312" w:cs="仿宋_GB2312"/>
                                <w:b w:val="0"/>
                                <w:bCs w:val="0"/>
                                <w:sz w:val="32"/>
                                <w:szCs w:val="32"/>
                                <w:lang w:val="en-US" w:eastAsia="zh-CN"/>
                              </w:rPr>
                              <w:t>赤政字〔2026〕47号</w:t>
                            </w:r>
                          </w:p>
                        </w:txbxContent>
                      </v:textbox>
                    </v:shape>
                  </w:pict>
                </mc:Fallback>
              </mc:AlternateContent>
            </w:r>
          </w:p>
        </w:tc>
      </w:tr>
    </w:tbl>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rPr>
        <w:t>赤峰市人民政府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黑体" w:eastAsia="方正小标宋简体"/>
          <w:sz w:val="44"/>
          <w:szCs w:val="44"/>
        </w:rPr>
      </w:pPr>
      <w:r>
        <w:rPr>
          <w:rFonts w:hint="eastAsia" w:ascii="方正小标宋简体" w:hAnsi="黑体" w:eastAsia="方正小标宋简体"/>
          <w:sz w:val="44"/>
          <w:szCs w:val="44"/>
        </w:rPr>
        <w:t>关于公布</w:t>
      </w:r>
      <w:r>
        <w:rPr>
          <w:rFonts w:hint="eastAsia" w:ascii="方正小标宋简体" w:hAnsi="黑体" w:eastAsia="方正小标宋简体"/>
          <w:sz w:val="44"/>
          <w:szCs w:val="44"/>
          <w:lang w:val="en-US" w:eastAsia="zh-CN"/>
        </w:rPr>
        <w:t>行政</w:t>
      </w:r>
      <w:r>
        <w:rPr>
          <w:rFonts w:hint="eastAsia" w:ascii="方正小标宋简体" w:hAnsi="黑体" w:eastAsia="方正小标宋简体"/>
          <w:sz w:val="44"/>
          <w:szCs w:val="44"/>
        </w:rPr>
        <w:t>规范性文件清理结果的通知</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仿宋_GB2312"/>
          <w:sz w:val="44"/>
          <w:szCs w:val="44"/>
        </w:rPr>
      </w:pPr>
      <w:r>
        <w:rPr>
          <w:rFonts w:eastAsia="仿宋_GB2312"/>
          <w:sz w:val="32"/>
          <w:szCs w:val="32"/>
        </w:rPr>
        <w:t>各旗县区人民政府，市直各委办局，各企事业单位：</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jc w:val="both"/>
        <w:textAlignment w:val="auto"/>
        <w:rPr>
          <w:rFonts w:hint="eastAsia" w:eastAsia="仿宋_GB2312"/>
          <w:sz w:val="32"/>
          <w:szCs w:val="32"/>
          <w:highlight w:val="none"/>
          <w:lang w:val="en-US" w:eastAsia="zh-CN"/>
        </w:rPr>
      </w:pPr>
      <w:r>
        <w:rPr>
          <w:rFonts w:hint="eastAsia" w:eastAsia="仿宋_GB2312"/>
          <w:sz w:val="32"/>
          <w:szCs w:val="32"/>
          <w:highlight w:val="none"/>
        </w:rPr>
        <w:t>按照</w:t>
      </w:r>
      <w:r>
        <w:rPr>
          <w:rFonts w:hint="eastAsia" w:ascii="仿宋_GB2312" w:hAnsi="仿宋_GB2312" w:eastAsia="仿宋_GB2312" w:cs="仿宋_GB2312"/>
          <w:sz w:val="32"/>
          <w:szCs w:val="32"/>
          <w:lang w:eastAsia="zh-CN"/>
        </w:rPr>
        <w:t>《中共内蒙古自治区委员会全面依法治区委员会办公室关于开展涉及〈中华人民共和国民族团结进步促进法〉地方性法规、政府规章和行政规范性文件清理工作的通知》（内依法治区办发〔202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号）、《内蒙古自治区司法厅关于开展涉及市场主体的行政规范性文件清理工作的函》（内司函〔202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lang w:eastAsia="zh-CN"/>
        </w:rPr>
        <w:t>号）等文件</w:t>
      </w:r>
      <w:r>
        <w:rPr>
          <w:rFonts w:hint="eastAsia" w:ascii="仿宋_GB2312" w:hAnsi="仿宋_GB2312" w:eastAsia="仿宋_GB2312" w:cs="仿宋_GB2312"/>
          <w:sz w:val="32"/>
          <w:szCs w:val="32"/>
          <w:highlight w:val="none"/>
        </w:rPr>
        <w:t>要</w:t>
      </w:r>
      <w:r>
        <w:rPr>
          <w:rFonts w:hint="eastAsia" w:eastAsia="仿宋_GB2312"/>
          <w:sz w:val="32"/>
          <w:szCs w:val="32"/>
          <w:highlight w:val="none"/>
        </w:rPr>
        <w:t>求，市</w:t>
      </w:r>
      <w:r>
        <w:rPr>
          <w:rFonts w:hint="eastAsia" w:eastAsia="仿宋_GB2312"/>
          <w:sz w:val="32"/>
          <w:szCs w:val="32"/>
          <w:highlight w:val="none"/>
          <w:lang w:eastAsia="zh-CN"/>
        </w:rPr>
        <w:t>人民</w:t>
      </w:r>
      <w:r>
        <w:rPr>
          <w:rFonts w:hint="eastAsia" w:eastAsia="仿宋_GB2312"/>
          <w:sz w:val="32"/>
          <w:szCs w:val="32"/>
          <w:highlight w:val="none"/>
        </w:rPr>
        <w:t>政府对</w:t>
      </w:r>
      <w:r>
        <w:rPr>
          <w:rFonts w:hint="eastAsia" w:eastAsia="仿宋_GB2312"/>
          <w:sz w:val="32"/>
          <w:szCs w:val="32"/>
          <w:highlight w:val="none"/>
          <w:lang w:eastAsia="zh-CN"/>
        </w:rPr>
        <w:t>涉及</w:t>
      </w:r>
      <w:r>
        <w:rPr>
          <w:rFonts w:hint="eastAsia" w:ascii="仿宋_GB2312" w:hAnsi="仿宋_GB2312" w:eastAsia="仿宋_GB2312" w:cs="仿宋_GB2312"/>
          <w:color w:val="auto"/>
          <w:sz w:val="32"/>
          <w:szCs w:val="32"/>
          <w:lang w:eastAsia="zh-CN"/>
        </w:rPr>
        <w:t>市场主体、《中华人民共和国生态环境法典》和《中华人民共和国民族团结进步促进法》的</w:t>
      </w:r>
      <w:r>
        <w:rPr>
          <w:rFonts w:hint="eastAsia" w:eastAsia="仿宋_GB2312"/>
          <w:sz w:val="32"/>
          <w:szCs w:val="32"/>
          <w:highlight w:val="none"/>
          <w:lang w:eastAsia="zh-CN"/>
        </w:rPr>
        <w:t>以市人民政府（办公室）名义印发的</w:t>
      </w:r>
      <w:r>
        <w:rPr>
          <w:rFonts w:hint="eastAsia" w:eastAsia="仿宋_GB2312"/>
          <w:sz w:val="32"/>
          <w:szCs w:val="32"/>
          <w:highlight w:val="none"/>
        </w:rPr>
        <w:t>现行有效</w:t>
      </w:r>
      <w:r>
        <w:rPr>
          <w:rFonts w:hint="eastAsia" w:eastAsia="仿宋_GB2312"/>
          <w:sz w:val="32"/>
          <w:szCs w:val="32"/>
          <w:highlight w:val="none"/>
          <w:lang w:eastAsia="zh-CN"/>
        </w:rPr>
        <w:t>行政</w:t>
      </w:r>
      <w:r>
        <w:rPr>
          <w:rFonts w:hint="eastAsia" w:eastAsia="仿宋_GB2312"/>
          <w:sz w:val="32"/>
          <w:szCs w:val="32"/>
          <w:highlight w:val="none"/>
        </w:rPr>
        <w:t>规范性文件进行了清理</w:t>
      </w:r>
      <w:r>
        <w:rPr>
          <w:rFonts w:hint="eastAsia" w:eastAsia="仿宋_GB2312"/>
          <w:sz w:val="32"/>
          <w:szCs w:val="32"/>
          <w:highlight w:val="none"/>
          <w:lang w:eastAsia="zh-CN"/>
        </w:rPr>
        <w:t>，</w:t>
      </w:r>
      <w:r>
        <w:rPr>
          <w:rFonts w:hint="eastAsia" w:eastAsia="仿宋_GB2312"/>
          <w:sz w:val="32"/>
          <w:szCs w:val="32"/>
          <w:highlight w:val="none"/>
        </w:rPr>
        <w:t>现将清理结果通知如下：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24"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highlight w:val="none"/>
          <w:lang w:val="en-US" w:eastAsia="zh-CN" w:bidi="ar-SA"/>
        </w:rPr>
        <w:t>一、</w:t>
      </w:r>
      <w:r>
        <w:rPr>
          <w:rFonts w:hint="eastAsia" w:ascii="仿宋_GB2312" w:hAnsi="仿宋_GB2312" w:eastAsia="仿宋_GB2312" w:cs="仿宋_GB2312"/>
          <w:sz w:val="32"/>
          <w:szCs w:val="32"/>
          <w:highlight w:val="none"/>
        </w:rPr>
        <w:t>保留并继续执行《赤峰市人民政府关于印发</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赤峰市行政区域界线管理办法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的通知》(赤政发〔2004〕49号)等</w:t>
      </w:r>
      <w:r>
        <w:rPr>
          <w:rFonts w:hint="eastAsia" w:ascii="仿宋_GB2312" w:hAnsi="仿宋_GB2312" w:eastAsia="仿宋_GB2312" w:cs="仿宋_GB2312"/>
          <w:sz w:val="32"/>
          <w:szCs w:val="32"/>
          <w:highlight w:val="none"/>
          <w:lang w:val="en-US" w:eastAsia="zh-CN"/>
        </w:rPr>
        <w:t>66</w:t>
      </w:r>
      <w:r>
        <w:rPr>
          <w:rFonts w:hint="eastAsia" w:ascii="仿宋_GB2312" w:hAnsi="仿宋_GB2312" w:eastAsia="仿宋_GB2312" w:cs="仿宋_GB2312"/>
          <w:sz w:val="32"/>
          <w:szCs w:val="32"/>
          <w:highlight w:val="none"/>
        </w:rPr>
        <w:t>件</w:t>
      </w:r>
      <w:r>
        <w:rPr>
          <w:rFonts w:hint="eastAsia" w:ascii="仿宋_GB2312" w:hAnsi="仿宋_GB2312" w:eastAsia="仿宋_GB2312" w:cs="仿宋_GB2312"/>
          <w:sz w:val="32"/>
          <w:szCs w:val="32"/>
          <w:highlight w:val="none"/>
          <w:lang w:eastAsia="zh-CN"/>
        </w:rPr>
        <w:t>行政</w:t>
      </w:r>
      <w:r>
        <w:rPr>
          <w:rFonts w:hint="eastAsia" w:ascii="仿宋_GB2312" w:hAnsi="仿宋_GB2312" w:eastAsia="仿宋_GB2312" w:cs="仿宋_GB2312"/>
          <w:sz w:val="32"/>
          <w:szCs w:val="32"/>
          <w:highlight w:val="none"/>
        </w:rPr>
        <w:t>规范性文件。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jc w:val="both"/>
        <w:textAlignment w:val="auto"/>
        <w:rPr>
          <w:rFonts w:hint="eastAsia" w:ascii="仿宋_GB2312" w:hAnsi="仿宋_GB2312" w:eastAsia="仿宋_GB2312" w:cs="仿宋_GB2312"/>
          <w:sz w:val="32"/>
          <w:szCs w:val="32"/>
          <w:highlight w:val="none"/>
        </w:rPr>
      </w:pPr>
      <w:r>
        <w:rPr>
          <w:rFonts w:hint="eastAsia" w:eastAsia="仿宋_GB2312"/>
          <w:sz w:val="32"/>
          <w:szCs w:val="32"/>
          <w:highlight w:val="none"/>
          <w:lang w:eastAsia="zh-CN"/>
        </w:rPr>
        <w:t>二</w:t>
      </w:r>
      <w:r>
        <w:rPr>
          <w:rFonts w:eastAsia="仿宋_GB2312"/>
          <w:sz w:val="32"/>
          <w:szCs w:val="32"/>
          <w:highlight w:val="none"/>
        </w:rPr>
        <w:t>、</w:t>
      </w:r>
      <w:r>
        <w:rPr>
          <w:rFonts w:hint="eastAsia" w:ascii="仿宋_GB2312" w:hAnsi="仿宋_GB2312" w:eastAsia="仿宋_GB2312" w:cs="仿宋_GB2312"/>
          <w:sz w:val="32"/>
          <w:szCs w:val="32"/>
          <w:highlight w:val="none"/>
        </w:rPr>
        <w:t>废止或宣布失效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赤峰市人民政府办公厅关于印发〈赤峰市林业产业化重点龙头企业认定管理办法〉的通知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(赤政</w:t>
      </w:r>
      <w:r>
        <w:rPr>
          <w:rFonts w:hint="eastAsia" w:ascii="仿宋_GB2312" w:hAnsi="仿宋_GB2312" w:eastAsia="仿宋_GB2312" w:cs="仿宋_GB2312"/>
          <w:sz w:val="32"/>
          <w:szCs w:val="32"/>
          <w:highlight w:val="none"/>
          <w:lang w:eastAsia="zh-CN"/>
        </w:rPr>
        <w:t>办</w:t>
      </w:r>
      <w:r>
        <w:rPr>
          <w:rFonts w:hint="eastAsia" w:ascii="仿宋_GB2312" w:hAnsi="仿宋_GB2312" w:eastAsia="仿宋_GB2312" w:cs="仿宋_GB2312"/>
          <w:sz w:val="32"/>
          <w:szCs w:val="32"/>
          <w:highlight w:val="none"/>
        </w:rPr>
        <w:t>发〔201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58</w:t>
      </w:r>
      <w:r>
        <w:rPr>
          <w:rFonts w:hint="eastAsia" w:ascii="仿宋_GB2312" w:hAnsi="仿宋_GB2312" w:eastAsia="仿宋_GB2312" w:cs="仿宋_GB2312"/>
          <w:sz w:val="32"/>
          <w:szCs w:val="32"/>
          <w:highlight w:val="none"/>
        </w:rPr>
        <w:t>号)等</w:t>
      </w:r>
      <w:r>
        <w:rPr>
          <w:rFonts w:hint="eastAsia" w:ascii="仿宋_GB2312" w:hAnsi="仿宋_GB2312" w:eastAsia="仿宋_GB2312" w:cs="仿宋_GB2312"/>
          <w:sz w:val="32"/>
          <w:szCs w:val="32"/>
          <w:highlight w:val="none"/>
          <w:lang w:val="en-US" w:eastAsia="zh-CN"/>
        </w:rPr>
        <w:t>16</w:t>
      </w:r>
      <w:r>
        <w:rPr>
          <w:rFonts w:hint="eastAsia" w:ascii="仿宋_GB2312" w:hAnsi="仿宋_GB2312" w:eastAsia="仿宋_GB2312" w:cs="仿宋_GB2312"/>
          <w:sz w:val="32"/>
          <w:szCs w:val="32"/>
          <w:highlight w:val="none"/>
        </w:rPr>
        <w:t>件</w:t>
      </w:r>
      <w:r>
        <w:rPr>
          <w:rFonts w:hint="eastAsia" w:ascii="仿宋_GB2312" w:hAnsi="仿宋_GB2312" w:eastAsia="仿宋_GB2312" w:cs="仿宋_GB2312"/>
          <w:sz w:val="32"/>
          <w:szCs w:val="32"/>
          <w:highlight w:val="none"/>
          <w:lang w:eastAsia="zh-CN"/>
        </w:rPr>
        <w:t>行政</w:t>
      </w:r>
      <w:r>
        <w:rPr>
          <w:rFonts w:hint="eastAsia" w:ascii="仿宋_GB2312" w:hAnsi="仿宋_GB2312" w:eastAsia="仿宋_GB2312" w:cs="仿宋_GB2312"/>
          <w:sz w:val="32"/>
          <w:szCs w:val="32"/>
          <w:highlight w:val="none"/>
        </w:rPr>
        <w:t>规范性文件。</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三、本次一并对</w:t>
      </w:r>
      <w:r>
        <w:rPr>
          <w:rFonts w:hint="eastAsia" w:ascii="仿宋_GB2312" w:hAnsi="仿宋_GB2312" w:eastAsia="仿宋_GB2312" w:cs="仿宋_GB2312"/>
          <w:sz w:val="32"/>
          <w:szCs w:val="32"/>
          <w:highlight w:val="none"/>
          <w:lang w:val="en-US" w:eastAsia="zh-CN"/>
        </w:rPr>
        <w:t>2021年至今批量或单独废止（修改）的规范性文件进行了梳理，与以上文件一并公布。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jc w:val="both"/>
        <w:textAlignment w:val="auto"/>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24"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2026年市政府（办公室）行政规范性文件清理目录</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24" w:firstLineChars="20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24" w:firstLineChars="20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24" w:firstLineChars="200"/>
        <w:jc w:val="both"/>
        <w:textAlignment w:val="auto"/>
        <w:rPr>
          <w:rFonts w:hint="eastAsia" w:ascii="仿宋_GB2312" w:hAnsi="仿宋_GB2312" w:eastAsia="仿宋_GB2312" w:cs="仿宋_GB2312"/>
          <w:sz w:val="32"/>
          <w:szCs w:val="32"/>
          <w:highlight w:val="none"/>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firstLine="62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24" w:firstLineChars="200"/>
        <w:jc w:val="both"/>
        <w:textAlignment w:val="auto"/>
        <w:rPr>
          <w:rFonts w:hint="eastAsia" w:asciiTheme="minorEastAsia" w:hAnsiTheme="minorEastAsia" w:eastAsiaTheme="minorEastAsia" w:cstheme="minorEastAsia"/>
          <w:sz w:val="28"/>
          <w:szCs w:val="28"/>
        </w:rPr>
      </w:pPr>
      <w:r>
        <w:rPr>
          <w:rFonts w:hint="eastAsia" w:ascii="仿宋_GB2312" w:hAnsi="仿宋_GB2312" w:eastAsia="仿宋_GB2312" w:cs="仿宋_GB2312"/>
          <w:sz w:val="32"/>
          <w:szCs w:val="32"/>
        </w:rPr>
        <w:t>（此件公开发布）</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000000"/>
          <w:spacing w:val="11"/>
          <w:sz w:val="32"/>
          <w:szCs w:val="32"/>
          <w:shd w:val="clear" w:color="auto" w:fill="FFFFFF"/>
          <w:lang w:val="en-US" w:eastAsia="zh-CN"/>
        </w:rPr>
      </w:pPr>
      <w:r>
        <w:rPr>
          <w:rFonts w:hint="eastAsia" w:ascii="仿宋_GB2312" w:hAnsi="仿宋_GB2312" w:eastAsia="仿宋_GB2312" w:cs="仿宋_GB2312"/>
          <w:b w:val="0"/>
          <w:bCs w:val="0"/>
          <w:color w:val="000000"/>
          <w:sz w:val="28"/>
          <w:szCs w:val="28"/>
          <w:shd w:val="clear" w:color="auto" w:fill="FFFFFF"/>
          <w:lang w:val="en-US" w:eastAsia="zh-CN"/>
        </w:rPr>
        <w:t xml:space="preserve"> </w:t>
      </w:r>
    </w:p>
    <w:p/>
    <w:sectPr>
      <w:footerReference r:id="rId5" w:type="first"/>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titlePg/>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3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b6rKffAQAAvwMAAA4AAABkcnMv&#10;ZTJvRG9jLnhtbK1TwY7TMBC9I/EPlu80aVdCVdV0tVAtQkKAtOwHuI7TWLI91thtUj4A/oATF+58&#10;V7+DsZN0YbnsYS/JeGb8Zt6b8fq6t4YdFQYNruLzWcmZchJq7fYVv/9y+2rJWYjC1cKAUxU/qcCv&#10;Ny9frDu/UgtowdQKGYG4sOp8xdsY/aoogmyVFWEGXjkKNoBWRDrivqhRdIRuTbEoy9dFB1h7BKlC&#10;IO92CPIREZ8CCE2jpdqCPFjl4oCKyohIlEKrfeCb3G3TKBk/NU1QkZmKE9OYv1SE7F36Fpu1WO1R&#10;+FbLsQXxlBYecbJCOyp6gdqKKNgB9X9QVkuEAE2cSbDFQCQrQizm5SNt7lrhVeZCUgd/ET08H6z8&#10;ePyMTNcVv+LMCUsDP//4fv75+/zrG7uaJ306H1aUducpMfZvoKetmfyBnIl236BNfyLEKE7qni7q&#10;qj4ymS4tF8tlSSFJselA+MXDdY8hvlNgWTIqjjS+rKo4fghxSJ1SUjUHt9qYPELj/nEQZvIUqfeh&#10;x2TFftePhHZQn4gPvQOq0wJ+5ayjLai4o6XnzLx3JHJamMnAydhNhnCSLlY8cjaYb+OwWAePet/m&#10;VUtNBX9ziNRpJpDaGGqP3dFcswTjDqbF+fucsx7e3eY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zql5uc8AAAAFAQAADwAAAAAAAAABACAAAAA4AAAAZHJzL2Rvd25yZXYueG1sUEsBAhQAFAAAAAgA&#10;h07iQLb6rKffAQAAvwMAAA4AAAAAAAAAAQAgAAAANAEAAGRycy9lMm9Eb2MueG1sUEsFBgAAAAAG&#10;AAYAWQEAAIUFA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3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A3bAjfAQAAvwMAAA4AAABkcnMv&#10;ZTJvRG9jLnhtbK1TwY7TMBC9I/EPlu802YJQFTVdAdUiJARICx/gOk5jyfZY9rRJ+QD4A05cuPNd&#10;/Y4dO0kXlsseuCTjmfGbeW/G6+vBGnZUIWpwNb9alJwpJ6HRbl/zL59vnq04iyhcIww4VfOTivx6&#10;8/TJuveVWkIHplGBEYiLVe9r3iH6qiii7JQVcQFeOQq2EKxAOoZ90QTRE7o1xbIsXxY9hMYHkCpG&#10;8m7HIJ8Qw2MAoW21VFuQB6scjqhBGYFEKXbaR77J3batkvixbaNCZmpOTDF/qQjZu/QtNmtR7YPw&#10;nZZTC+IxLTzgZIV2VPQCtRUo2CHof6CslgEitLiQYIuRSFaEWFyVD7S57YRXmQtJHf1F9Pj/YOWH&#10;46fAdFPzF5w5YWng5x/fzz9/n399Y8+XSZ/ex4rSbj0l4vAaBtqa2R/JmWgPbbDpT4QYxUnd00Vd&#10;NSCT6dJquVqVFJIUmw+EX9xf9yHiWwWWJaPmgcaXVRXH9xHH1DklVXNwo43JIzTuLwdhJk+Reh97&#10;TBYOu2EitIPmRHzoHVCdDsJXznragpo7WnrOzDtHIqeFmY0wG7vZEE7SxZojZ6P5BsfFOvig911e&#10;tdRU9K8OSJ1mAqmNsfbUHc01SzDtYFqcP8856/7dbe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zql5uc8AAAAFAQAADwAAAAAAAAABACAAAAA4AAAAZHJzL2Rvd25yZXYueG1sUEsBAhQAFAAAAAgA&#10;h07iQMA3bAjfAQAAvwMAAA4AAAAAAAAAAQAgAAAANAEAAGRycy9lMm9Eb2MueG1sUEsFBgAAAAAG&#10;AAYAWQEAAIUFA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pPr w:leftFromText="181" w:rightFromText="181" w:vertAnchor="page" w:horzAnchor="page" w:tblpX="1688" w:tblpY="14854"/>
      <w:tblW w:w="8840" w:type="dxa"/>
      <w:jc w:val="center"/>
      <w:tblBorders>
        <w:top w:val="none" w:color="auto" w:sz="0" w:space="0"/>
        <w:left w:val="none" w:color="auto" w:sz="0" w:space="0"/>
        <w:bottom w:val="single" w:color="FF0000" w:sz="36" w:space="0"/>
        <w:right w:val="none" w:color="auto" w:sz="0" w:space="0"/>
        <w:insideH w:val="none" w:color="auto" w:sz="0" w:space="0"/>
        <w:insideV w:val="single" w:color="FF0000" w:sz="36" w:space="0"/>
      </w:tblBorders>
      <w:tblLayout w:type="fixed"/>
      <w:tblCellMar>
        <w:top w:w="0" w:type="dxa"/>
        <w:left w:w="108" w:type="dxa"/>
        <w:bottom w:w="0" w:type="dxa"/>
        <w:right w:w="108" w:type="dxa"/>
      </w:tblCellMar>
    </w:tblPr>
    <w:tblGrid>
      <w:gridCol w:w="8840"/>
    </w:tblGrid>
    <w:tr>
      <w:tblPrEx>
        <w:tblBorders>
          <w:top w:val="none" w:color="auto" w:sz="0" w:space="0"/>
          <w:left w:val="none" w:color="auto" w:sz="0" w:space="0"/>
          <w:bottom w:val="single" w:color="FF0000" w:sz="36" w:space="0"/>
          <w:right w:val="none" w:color="auto" w:sz="0" w:space="0"/>
          <w:insideH w:val="none" w:color="auto" w:sz="0" w:space="0"/>
          <w:insideV w:val="single" w:color="FF0000" w:sz="36" w:space="0"/>
        </w:tblBorders>
        <w:tblCellMar>
          <w:top w:w="0" w:type="dxa"/>
          <w:left w:w="108" w:type="dxa"/>
          <w:bottom w:w="0" w:type="dxa"/>
          <w:right w:w="108" w:type="dxa"/>
        </w:tblCellMar>
      </w:tblPrEx>
      <w:trPr>
        <w:cantSplit/>
        <w:trHeight w:val="91" w:hRule="exact"/>
        <w:jc w:val="center"/>
      </w:trPr>
      <w:tc>
        <w:tcPr>
          <w:tcW w:w="8840" w:type="dxa"/>
          <w:tcBorders>
            <w:top w:val="single" w:color="FF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480" w:lineRule="auto"/>
            <w:jc w:val="both"/>
            <w:textAlignment w:val="auto"/>
            <w:rPr>
              <w:rFonts w:hint="default" w:ascii="仿宋" w:hAnsi="仿宋" w:eastAsia="宋体" w:cs="仿宋"/>
              <w:b w:val="0"/>
              <w:bCs w:val="0"/>
              <w:color w:val="FFFFFF"/>
              <w:sz w:val="32"/>
              <w:szCs w:val="32"/>
              <w:lang w:val="en-US" w:eastAsia="zh-CN"/>
            </w:rPr>
          </w:pPr>
          <w:r>
            <w:rPr>
              <w:rFonts w:hint="default"/>
              <w:color w:val="FFFFFF"/>
              <w:sz w:val="2"/>
              <w:szCs w:val="2"/>
              <w:lang w:val="en-US"/>
            </w:rPr>
            <mc:AlternateContent>
              <mc:Choice Requires="wps">
                <w:drawing>
                  <wp:anchor distT="0" distB="0" distL="114300" distR="114300" simplePos="0" relativeHeight="251663360" behindDoc="1" locked="0" layoutInCell="1" allowOverlap="1">
                    <wp:simplePos x="0" y="0"/>
                    <wp:positionH relativeFrom="margin">
                      <wp:posOffset>4749165</wp:posOffset>
                    </wp:positionH>
                    <wp:positionV relativeFrom="page">
                      <wp:posOffset>157480</wp:posOffset>
                    </wp:positionV>
                    <wp:extent cx="635" cy="635"/>
                    <wp:effectExtent l="0" t="0" r="0" b="0"/>
                    <wp:wrapNone/>
                    <wp:docPr id="2" name="文本框 34"/>
                    <wp:cNvGraphicFramePr/>
                    <a:graphic xmlns:a="http://schemas.openxmlformats.org/drawingml/2006/main">
                      <a:graphicData uri="http://schemas.microsoft.com/office/word/2010/wordprocessingShape">
                        <wps:wsp>
                          <wps:cNvSpPr txBox="1"/>
                          <wps:spPr>
                            <a:xfrm>
                              <a:off x="0" y="0"/>
                              <a:ext cx="635" cy="635"/>
                            </a:xfrm>
                            <a:prstGeom prst="rect">
                              <a:avLst/>
                            </a:prstGeom>
                            <a:solidFill>
                              <a:srgbClr val="FFFFFF">
                                <a:alpha val="0"/>
                              </a:srgbClr>
                            </a:solidFill>
                            <a:ln>
                              <a:noFill/>
                            </a:ln>
                          </wps:spPr>
                          <wps:txbx>
                            <w:txbxContent>
                              <w:p>
                                <w:pPr>
                                  <w:pStyle w:val="4"/>
                                  <w:rPr>
                                    <w:color w:val="000000"/>
                                  </w:rPr>
                                </w:pPr>
                                <w:r>
                                  <w:rPr>
                                    <w:color w:val="000000"/>
                                  </w:rPr>
                                  <w:t xml:space="preserve">— </w:t>
                                </w:r>
                                <w:r>
                                  <w:rPr>
                                    <w:color w:val="000000"/>
                                  </w:rPr>
                                  <w:fldChar w:fldCharType="begin"/>
                                </w:r>
                                <w:r>
                                  <w:rPr>
                                    <w:color w:val="000000"/>
                                  </w:rPr>
                                  <w:instrText xml:space="preserve"> PAGE  \* MERGEFORMAT </w:instrText>
                                </w:r>
                                <w:r>
                                  <w:rPr>
                                    <w:color w:val="000000"/>
                                  </w:rPr>
                                  <w:fldChar w:fldCharType="separate"/>
                                </w:r>
                                <w:r>
                                  <w:rPr>
                                    <w:color w:val="000000"/>
                                  </w:rPr>
                                  <w:t>- 0 -</w:t>
                                </w:r>
                                <w:r>
                                  <w:rPr>
                                    <w:color w:val="000000"/>
                                  </w:rPr>
                                  <w:fldChar w:fldCharType="end"/>
                                </w:r>
                                <w:r>
                                  <w:rPr>
                                    <w:color w:val="000000"/>
                                  </w:rPr>
                                  <w:t xml:space="preserve"> —</w:t>
                                </w:r>
                              </w:p>
                            </w:txbxContent>
                          </wps:txbx>
                          <wps:bodyPr wrap="none" lIns="0" tIns="0" rIns="0" bIns="0" upright="1"/>
                        </wps:wsp>
                      </a:graphicData>
                    </a:graphic>
                  </wp:anchor>
                </w:drawing>
              </mc:Choice>
              <mc:Fallback>
                <w:pict>
                  <v:shape id="文本框 34" o:spid="_x0000_s1026" o:spt="202" type="#_x0000_t202" style="position:absolute;left:0pt;margin-left:373.95pt;margin-top:12.4pt;height:0.05pt;width:0.05pt;mso-position-horizontal-relative:margin;mso-position-vertical-relative:page;mso-wrap-style:none;z-index:-251653120;mso-width-relative:page;mso-height-relative:page;" fillcolor="#FFFFFF" filled="t" stroked="f" coordsize="21600,21600" o:gfxdata="UEsFBgAAAAAAAAAAAAAAAAAAAAAAAFBLAwQKAAAAAACHTuJAAAAAAAAAAAAAAAAABAAAAGRycy9Q&#10;SwMEFAAAAAgAh07iQKOXPTDZAAAACQEAAA8AAABkcnMvZG93bnJldi54bWxNj8FOwzAMhu9IvENk&#10;JC6Ipa0qunVNdwBNHCYkGOyeNV7T0SRVknXd2+Od2NH2p9/fX60m07MRfeicFZDOEmBoG6c62wr4&#10;+V4/z4GFKK2SvbMo4IIBVvX9XSVL5c72C8dtbBmF2FBKATrGoeQ8NBqNDDM3oKXbwXkjI42+5crL&#10;M4WbnmdJ8sKN7Cx90HLAV43N7/ZkBEzpe7/xnx+X49ORj4fsTW/WOy3E40OaLIFFnOI/DFd9Uoea&#10;nPbuZFVgvYAiLxaECshyqkBAkc+p3P66WACvK37boP4DUEsDBBQAAAAIAIdO4kDzGs9I3AEAAL4D&#10;AAAOAAAAZHJzL2Uyb0RvYy54bWytU82O0zAQviPxDpbvNN0urFDUdCWoipAQIO3yAI7jJJb8pxm3&#10;SV8A3oATF+48V5+DsdN0YbnsgRyc8Xj8zXzfjNe3ozXsoAC1dxW/Wiw5U076Rruu4l/udy9ec4ZR&#10;uEYY71TFjwr57eb5s/UQSrXyvTeNAkYgDsshVLyPMZRFgbJXVuDCB+XosPVgRaQtdEUDYiB0a4rV&#10;cnlTDB6aAF4qRPJup0N+RoSnAPq21VJtvdxb5eKECsqISJSw1wH5JlfbtkrGT22LKjJTcWIa80pJ&#10;yK7TWmzWouxAhF7LcwniKSU84mSFdpT0ArUVUbA96H+grJbg0bdxIb0tJiJZEWJxtXykzV0vgspc&#10;SGoMF9Hx/8HKj4fPwHRT8RVnTlhq+On7t9OPX6efX9n1y6TPELCksLtAgXF840eamtmP5Ey0xxZs&#10;+hMhRuek7vGirhojk+S8uX7FmSR/Mgi3eLgWAOM75S1LRsWB2pbVFIcPGKfQOSRlQW90s9PG5A10&#10;9VsD7CCoxbv8TXdN6MXkzW2mdDiF5tR/YRiXkJxPmFO65CkS84lhsuJYj2c5at8cSY2B5qbijp4J&#10;Z+a9o7akEZsNmI16NvYBdNcTwaxfhqe25nLOI5jm5s99LuLh2W1+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KOXPTDZAAAACQEAAA8AAAAAAAAAAQAgAAAAOAAAAGRycy9kb3ducmV2LnhtbFBLAQIU&#10;ABQAAAAIAIdO4kDzGs9I3AEAAL4DAAAOAAAAAAAAAAEAIAAAAD4BAABkcnMvZTJvRG9jLnhtbFBL&#10;BQYAAAAABgAGAFkBAACMBQAAAAA=&#10;">
                    <v:fill on="t" opacity="0f" focussize="0,0"/>
                    <v:stroke on="f"/>
                    <v:imagedata o:title=""/>
                    <o:lock v:ext="edit" aspectratio="f"/>
                    <v:textbox inset="0mm,0mm,0mm,0mm">
                      <w:txbxContent>
                        <w:p>
                          <w:pPr>
                            <w:pStyle w:val="4"/>
                            <w:rPr>
                              <w:color w:val="000000"/>
                            </w:rPr>
                          </w:pPr>
                          <w:r>
                            <w:rPr>
                              <w:color w:val="000000"/>
                            </w:rPr>
                            <w:t xml:space="preserve">— </w:t>
                          </w:r>
                          <w:r>
                            <w:rPr>
                              <w:color w:val="000000"/>
                            </w:rPr>
                            <w:fldChar w:fldCharType="begin"/>
                          </w:r>
                          <w:r>
                            <w:rPr>
                              <w:color w:val="000000"/>
                            </w:rPr>
                            <w:instrText xml:space="preserve"> PAGE  \* MERGEFORMAT </w:instrText>
                          </w:r>
                          <w:r>
                            <w:rPr>
                              <w:color w:val="000000"/>
                            </w:rPr>
                            <w:fldChar w:fldCharType="separate"/>
                          </w:r>
                          <w:r>
                            <w:rPr>
                              <w:color w:val="000000"/>
                            </w:rPr>
                            <w:t>- 0 -</w:t>
                          </w:r>
                          <w:r>
                            <w:rPr>
                              <w:color w:val="000000"/>
                            </w:rPr>
                            <w:fldChar w:fldCharType="end"/>
                          </w:r>
                          <w:r>
                            <w:rPr>
                              <w:color w:val="000000"/>
                            </w:rPr>
                            <w:t xml:space="preserve"> —</w:t>
                          </w:r>
                        </w:p>
                      </w:txbxContent>
                    </v:textbox>
                  </v:shape>
                </w:pict>
              </mc:Fallback>
            </mc:AlternateContent>
          </w:r>
        </w:p>
      </w:tc>
    </w:tr>
  </w:tbl>
  <w:p>
    <w:pPr>
      <w:pStyle w:val="4"/>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635" cy="635"/>
              <wp:effectExtent l="0" t="0" r="0" b="0"/>
              <wp:wrapNone/>
              <wp:docPr id="5" name="文本框 33"/>
              <wp:cNvGraphicFramePr/>
              <a:graphic xmlns:a="http://schemas.openxmlformats.org/drawingml/2006/main">
                <a:graphicData uri="http://schemas.microsoft.com/office/word/2010/wordprocessingShape">
                  <wps:wsp>
                    <wps:cNvSpPr txBox="1"/>
                    <wps:spPr>
                      <a:xfrm>
                        <a:off x="0" y="0"/>
                        <a:ext cx="635" cy="635"/>
                      </a:xfrm>
                      <a:prstGeom prst="rect">
                        <a:avLst/>
                      </a:prstGeom>
                      <a:noFill/>
                      <a:ln>
                        <a:noFill/>
                      </a:ln>
                    </wps:spPr>
                    <wps:txbx>
                      <w:txbxContent>
                        <w:p>
                          <w:pPr>
                            <w:pStyle w:val="4"/>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wps:wsp>
                </a:graphicData>
              </a:graphic>
            </wp:anchor>
          </w:drawing>
        </mc:Choice>
        <mc:Fallback>
          <w:pict>
            <v:shape id="文本框 33" o:spid="_x0000_s1026" o:spt="202" type="#_x0000_t202" style="position:absolute;left:0pt;margin-top:0pt;height:0.05pt;width:0.05pt;mso-position-horizontal:outside;mso-position-horizontal-relative:margin;mso-wrap-style:none;z-index:251662336;mso-width-relative:page;mso-height-relative:page;" filled="f" stroked="f" coordsize="21600,21600" o:gfxdata="UEsFBgAAAAAAAAAAAAAAAAAAAAAAAFBLAwQKAAAAAACHTuJAAAAAAAAAAAAAAAAABAAAAGRycy9Q&#10;SwMEFAAAAAgAh07iQDZTiWXMAAAA/wAAAA8AAABkcnMvZG93bnJldi54bWxNjzFvwjAQhXek/gfr&#10;KrGBHYYKhTgMVTsWCejS7RIfSSA+R7YD4d/XsLTLk07v6b3viu1ke3ElHzrHGrKlAkFcO9Nxo+H7&#10;+LlYgwgR2WDvmDTcKcC2fJkVmBt34z1dD7ERqYRDjhraGIdcylC3ZDEs3UCcvJPzFmM6fSONx1sq&#10;t71cKfUmLXacFloc6L2l+nIYrYbT1+5y/hj36tyoNf1knqYq22k9f83UBkSkKf6F4YGf0KFMTJUb&#10;2QTRa0iPxKc+PVE9ErIs5H/u8hdQSwMEFAAAAAgAh07iQDDqaCzRAQAAnQMAAA4AAABkcnMvZTJv&#10;RG9jLnhtbK1TwY7TMBC9I/EPlu803a1YoajuSlAtQkKAtOwHuI7dWLI91thtUj4A/oATF+58V7+D&#10;cdJ0Yfeyh70k4/Hkzbw3L8vr3ju215gsBMEvZnPOdFDQ2LAV/O7rzas3nKUsQyMdBC34QSd+vXr5&#10;YtnFWl9CC67RyAgkpLqLgrc5x7qqkmq1l2kGUQe6NIBeZjritmpQdoTuXXU5n19VHWATEZROibLr&#10;8ZKfEPEpgGCMVXoNaud1yCMqaiczUUqtjYmvhmmN0Sp/NibpzJzgxDQPT2pC8aY8q9VS1luUsbXq&#10;NIJ8yggPOHlpAzU9Q61llmyH9hGUtwohgckzBb4aiQyKEIuL+QNtblsZ9cCFpE7xLHp6Plj1af8F&#10;mW0Ef81ZkJ4Wfvz54/jrz/H3d7ZYFH26mGoqu41UmPu30JNrpnyiZKHdG/TlTYQY3ZO6h7O6us9M&#10;UfJqQS0U5UtAuNX9ZxFTfq/BsxIIjrS2QU25/5jyWDqVlC4Bbqxzw+pc+C9BmCVTlZnH2UqU+01/&#10;IrKB5kA8yP/UpwX8xllH2xc8kNk5cx8CiVuMMgU4BZspkEHRh4JnzsbwXR4NtYtot+1gsTJz6Uxb&#10;G4ieHFZs8e95qLr/q1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BYAAABkcnMvUEsBAhQAFAAAAAgAh07iQDZTiWXMAAAA/wAAAA8AAAAA&#10;AAAAAQAgAAAAOAAAAGRycy9kb3ducmV2LnhtbFBLAQIUABQAAAAIAIdO4kAw6mgs0QEAAJ0DAAAO&#10;AAAAAAAAAAEAIAAAADEBAABkcnMvZTJvRG9jLnhtbFBLBQYAAAAABgAGAFkBAAB0BQAAAAA=&#10;">
              <v:fill on="f" focussize="0,0"/>
              <v:stroke on="f"/>
              <v:imagedata o:title=""/>
              <o:lock v:ext="edit" aspectratio="f"/>
              <v:textbox inset="0mm,0mm,0mm,0mm">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documentProtection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7dcbefa1-51e2-4e99-bffb-19c5e7f1de87"/>
  </w:docVars>
  <w:rsids>
    <w:rsidRoot w:val="00000000"/>
    <w:rsid w:val="010073E9"/>
    <w:rsid w:val="03F070F9"/>
    <w:rsid w:val="093B4988"/>
    <w:rsid w:val="0B284F1A"/>
    <w:rsid w:val="0BA21048"/>
    <w:rsid w:val="0BA93502"/>
    <w:rsid w:val="0D3F0580"/>
    <w:rsid w:val="10163C52"/>
    <w:rsid w:val="105B4730"/>
    <w:rsid w:val="14BE6568"/>
    <w:rsid w:val="14F01574"/>
    <w:rsid w:val="16606956"/>
    <w:rsid w:val="1668710C"/>
    <w:rsid w:val="19A7659B"/>
    <w:rsid w:val="1AF211D2"/>
    <w:rsid w:val="1C7A08B3"/>
    <w:rsid w:val="1E7F74DE"/>
    <w:rsid w:val="1F516B5B"/>
    <w:rsid w:val="200941DE"/>
    <w:rsid w:val="22843ED3"/>
    <w:rsid w:val="23240CDA"/>
    <w:rsid w:val="23E07262"/>
    <w:rsid w:val="24013925"/>
    <w:rsid w:val="248B798D"/>
    <w:rsid w:val="250A14D1"/>
    <w:rsid w:val="26057B7F"/>
    <w:rsid w:val="27AC7A16"/>
    <w:rsid w:val="2C216ECA"/>
    <w:rsid w:val="2CE12677"/>
    <w:rsid w:val="2D851142"/>
    <w:rsid w:val="30D05200"/>
    <w:rsid w:val="31DC69F2"/>
    <w:rsid w:val="33306488"/>
    <w:rsid w:val="359C1E05"/>
    <w:rsid w:val="359E2391"/>
    <w:rsid w:val="38A82945"/>
    <w:rsid w:val="3A9B552C"/>
    <w:rsid w:val="3B5937C8"/>
    <w:rsid w:val="3BB73BBF"/>
    <w:rsid w:val="3D80091D"/>
    <w:rsid w:val="3F421C51"/>
    <w:rsid w:val="3FCE0B50"/>
    <w:rsid w:val="40DC5A90"/>
    <w:rsid w:val="41356125"/>
    <w:rsid w:val="418657CB"/>
    <w:rsid w:val="42022E95"/>
    <w:rsid w:val="42A16911"/>
    <w:rsid w:val="43AC0516"/>
    <w:rsid w:val="44204A82"/>
    <w:rsid w:val="4506027C"/>
    <w:rsid w:val="451B673D"/>
    <w:rsid w:val="454C20ED"/>
    <w:rsid w:val="45B65CB5"/>
    <w:rsid w:val="46245D86"/>
    <w:rsid w:val="46B13012"/>
    <w:rsid w:val="47683C60"/>
    <w:rsid w:val="492A41A0"/>
    <w:rsid w:val="4B3115EC"/>
    <w:rsid w:val="4E5E04A0"/>
    <w:rsid w:val="5571146A"/>
    <w:rsid w:val="56EF622F"/>
    <w:rsid w:val="58401F01"/>
    <w:rsid w:val="5C2C7B3B"/>
    <w:rsid w:val="5C6313A8"/>
    <w:rsid w:val="5D5A4259"/>
    <w:rsid w:val="5EA547D2"/>
    <w:rsid w:val="5F532672"/>
    <w:rsid w:val="60DF28B7"/>
    <w:rsid w:val="6106379C"/>
    <w:rsid w:val="61250B85"/>
    <w:rsid w:val="66131848"/>
    <w:rsid w:val="66791A03"/>
    <w:rsid w:val="66D03393"/>
    <w:rsid w:val="69F95CD5"/>
    <w:rsid w:val="6A3B4FCC"/>
    <w:rsid w:val="6B6B0BB8"/>
    <w:rsid w:val="6C325DE4"/>
    <w:rsid w:val="705866D1"/>
    <w:rsid w:val="70D72B00"/>
    <w:rsid w:val="7306064B"/>
    <w:rsid w:val="73CB63C9"/>
    <w:rsid w:val="74813FCA"/>
    <w:rsid w:val="78886F5B"/>
    <w:rsid w:val="7A5D6D55"/>
    <w:rsid w:val="7A63258C"/>
    <w:rsid w:val="7CEE5FD5"/>
    <w:rsid w:val="7D637B7D"/>
    <w:rsid w:val="7E1E4C49"/>
    <w:rsid w:val="7FE7118F"/>
    <w:rsid w:val="7FFFE6A3"/>
    <w:rsid w:val="EF7646E9"/>
    <w:rsid w:val="EF764E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10"/>
    <w:semiHidden/>
    <w:unhideWhenUsed/>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rFonts w:eastAsia="仿宋_GB2312"/>
      <w:sz w:val="2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jc w:val="left"/>
    </w:pPr>
    <w:rPr>
      <w:rFonts w:eastAsia="宋体" w:cs="黑体"/>
      <w:kern w:val="0"/>
      <w:sz w:val="24"/>
      <w:szCs w:val="22"/>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2 Char"/>
    <w:link w:val="3"/>
    <w:qFormat/>
    <w:uiPriority w:val="1"/>
    <w:rPr>
      <w:rFonts w:ascii="宋体" w:hAnsi="宋体" w:eastAsia="黑体" w:cs="宋体"/>
      <w:b/>
      <w:bCs/>
      <w:sz w:val="28"/>
      <w:szCs w:val="45"/>
      <w:lang w:eastAsia="en-US"/>
    </w:rPr>
  </w:style>
  <w:style w:type="character" w:customStyle="1" w:styleId="11">
    <w:name w:val="font51"/>
    <w:basedOn w:val="9"/>
    <w:qFormat/>
    <w:uiPriority w:val="0"/>
    <w:rPr>
      <w:rFonts w:hint="eastAsia" w:ascii="宋体" w:hAnsi="宋体" w:eastAsia="宋体" w:cs="宋体"/>
      <w:color w:val="FF0000"/>
      <w:sz w:val="20"/>
      <w:szCs w:val="20"/>
      <w:u w:val="none"/>
    </w:rPr>
  </w:style>
  <w:style w:type="character" w:customStyle="1" w:styleId="12">
    <w:name w:val="font3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484</Words>
  <Characters>510</Characters>
  <Lines>0</Lines>
  <Paragraphs>0</Paragraphs>
  <TotalTime>10</TotalTime>
  <ScaleCrop>false</ScaleCrop>
  <LinksUpToDate>false</LinksUpToDate>
  <CharactersWithSpaces>541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2025-10-21T08:37:00Z</dcterms:created>
  <dc:creator>admin</dc:creator>
  <cp:lastModifiedBy>吴玥</cp:lastModifiedBy>
  <cp:lastPrinted>2026-06-12T10:47:00Z</cp:lastPrinted>
  <dcterms:modified xsi:type="dcterms:W3CDTF">2026-07-23T17:28:06Z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4DEA05BACB8A0FF0A6DE616A52852C25</vt:lpwstr>
  </property>
  <property fmtid="{D5CDD505-2E9C-101B-9397-08002B2CF9AE}" pid="4" name="KSOTemplateDocerSaveRecord">
    <vt:lpwstr>eyJoZGlkIjoiYzNhMThiMjRmMjY1MGI1YjhiMmJjZDE1MjY3MjE1MDUiLCJ1c2VySWQiOiIyMjMzNzgyMjMifQ==</vt:lpwstr>
  </property>
</Properties>
</file>